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9A9" w:rsidRDefault="00C029A9" w:rsidP="009330C7">
      <w:pPr>
        <w:jc w:val="center"/>
        <w:rPr>
          <w:b/>
        </w:rPr>
      </w:pPr>
      <w:r>
        <w:rPr>
          <w:b/>
        </w:rPr>
        <w:t>Foreign Language</w:t>
      </w:r>
    </w:p>
    <w:p w:rsidR="00034644" w:rsidRDefault="00F734CB" w:rsidP="009330C7">
      <w:pPr>
        <w:jc w:val="center"/>
        <w:rPr>
          <w:b/>
        </w:rPr>
      </w:pPr>
      <w:r w:rsidRPr="00374FD2">
        <w:rPr>
          <w:b/>
        </w:rPr>
        <w:t xml:space="preserve">Daily Lesson Plan Template </w:t>
      </w:r>
    </w:p>
    <w:p w:rsidR="00034644" w:rsidRDefault="00034644" w:rsidP="009330C7">
      <w:pPr>
        <w:jc w:val="center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1548"/>
        <w:gridCol w:w="5040"/>
        <w:gridCol w:w="1620"/>
        <w:gridCol w:w="4968"/>
      </w:tblGrid>
      <w:tr w:rsidR="00034644">
        <w:tc>
          <w:tcPr>
            <w:tcW w:w="1548" w:type="dxa"/>
          </w:tcPr>
          <w:p w:rsidR="00034644" w:rsidRDefault="00034644" w:rsidP="00034644">
            <w:pPr>
              <w:rPr>
                <w:b/>
              </w:rPr>
            </w:pPr>
            <w:r w:rsidRPr="00D04B0E">
              <w:rPr>
                <w:b/>
              </w:rPr>
              <w:t>Name</w:t>
            </w:r>
            <w:r>
              <w:t xml:space="preserve"> </w:t>
            </w:r>
            <w:r>
              <w:tab/>
            </w:r>
          </w:p>
        </w:tc>
        <w:tc>
          <w:tcPr>
            <w:tcW w:w="5040" w:type="dxa"/>
          </w:tcPr>
          <w:p w:rsidR="00034644" w:rsidRDefault="00034644" w:rsidP="00034644">
            <w:pPr>
              <w:rPr>
                <w:b/>
              </w:rPr>
            </w:pPr>
          </w:p>
        </w:tc>
        <w:tc>
          <w:tcPr>
            <w:tcW w:w="1620" w:type="dxa"/>
          </w:tcPr>
          <w:p w:rsidR="00034644" w:rsidRDefault="00034644" w:rsidP="00034644">
            <w:pPr>
              <w:rPr>
                <w:b/>
              </w:rPr>
            </w:pPr>
            <w:r w:rsidRPr="00D04B0E">
              <w:rPr>
                <w:b/>
              </w:rPr>
              <w:t>Date</w:t>
            </w:r>
          </w:p>
        </w:tc>
        <w:tc>
          <w:tcPr>
            <w:tcW w:w="4968" w:type="dxa"/>
          </w:tcPr>
          <w:p w:rsidR="00034644" w:rsidRDefault="00034644" w:rsidP="00034644">
            <w:pPr>
              <w:rPr>
                <w:b/>
              </w:rPr>
            </w:pPr>
          </w:p>
        </w:tc>
      </w:tr>
      <w:tr w:rsidR="00034644">
        <w:tc>
          <w:tcPr>
            <w:tcW w:w="1548" w:type="dxa"/>
          </w:tcPr>
          <w:p w:rsidR="00034644" w:rsidRDefault="00034644" w:rsidP="00034644">
            <w:pPr>
              <w:rPr>
                <w:b/>
              </w:rPr>
            </w:pPr>
            <w:r w:rsidRPr="00D04B0E">
              <w:rPr>
                <w:b/>
              </w:rPr>
              <w:t>Class/level</w:t>
            </w:r>
          </w:p>
        </w:tc>
        <w:tc>
          <w:tcPr>
            <w:tcW w:w="5040" w:type="dxa"/>
          </w:tcPr>
          <w:p w:rsidR="00034644" w:rsidRDefault="00034644" w:rsidP="00034644">
            <w:pPr>
              <w:rPr>
                <w:b/>
              </w:rPr>
            </w:pPr>
          </w:p>
        </w:tc>
        <w:tc>
          <w:tcPr>
            <w:tcW w:w="1620" w:type="dxa"/>
          </w:tcPr>
          <w:p w:rsidR="00034644" w:rsidRDefault="00034644" w:rsidP="00034644">
            <w:pPr>
              <w:rPr>
                <w:b/>
              </w:rPr>
            </w:pPr>
            <w:r w:rsidRPr="00D04B0E">
              <w:rPr>
                <w:b/>
              </w:rPr>
              <w:t>Unit/Theme</w:t>
            </w:r>
          </w:p>
        </w:tc>
        <w:tc>
          <w:tcPr>
            <w:tcW w:w="4968" w:type="dxa"/>
          </w:tcPr>
          <w:p w:rsidR="00034644" w:rsidRDefault="00034644" w:rsidP="00034644">
            <w:pPr>
              <w:rPr>
                <w:b/>
              </w:rPr>
            </w:pPr>
          </w:p>
        </w:tc>
      </w:tr>
    </w:tbl>
    <w:p w:rsidR="00F734CB" w:rsidRDefault="00D04B0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098A" w:rsidRPr="00B85803" w:rsidRDefault="00B85803">
      <w:pPr>
        <w:rPr>
          <w:b/>
        </w:rPr>
      </w:pPr>
      <w:r w:rsidRPr="00B85803">
        <w:rPr>
          <w:b/>
        </w:rPr>
        <w:t>This l</w:t>
      </w:r>
      <w:r w:rsidR="00F734CB" w:rsidRPr="00B85803">
        <w:rPr>
          <w:b/>
        </w:rPr>
        <w:t xml:space="preserve">esson addresses (check those that apply): </w:t>
      </w:r>
    </w:p>
    <w:p w:rsidR="00673CC8" w:rsidRDefault="00673CC8"/>
    <w:tbl>
      <w:tblPr>
        <w:tblStyle w:val="TableGrid"/>
        <w:tblW w:w="0" w:type="auto"/>
        <w:tblInd w:w="2088" w:type="dxa"/>
        <w:tblLook w:val="00BF"/>
      </w:tblPr>
      <w:tblGrid>
        <w:gridCol w:w="810"/>
        <w:gridCol w:w="3510"/>
        <w:gridCol w:w="540"/>
        <w:gridCol w:w="5040"/>
      </w:tblGrid>
      <w:tr w:rsidR="00673CC8">
        <w:trPr>
          <w:trHeight w:val="432"/>
        </w:trPr>
        <w:tc>
          <w:tcPr>
            <w:tcW w:w="810" w:type="dxa"/>
            <w:vAlign w:val="center"/>
          </w:tcPr>
          <w:p w:rsidR="00673CC8" w:rsidRDefault="00673CC8"/>
        </w:tc>
        <w:tc>
          <w:tcPr>
            <w:tcW w:w="3510" w:type="dxa"/>
            <w:vAlign w:val="center"/>
          </w:tcPr>
          <w:p w:rsidR="00673CC8" w:rsidRDefault="0021098A">
            <w:r>
              <w:t>Vocabulary Development</w:t>
            </w:r>
          </w:p>
        </w:tc>
        <w:tc>
          <w:tcPr>
            <w:tcW w:w="540" w:type="dxa"/>
            <w:vAlign w:val="center"/>
          </w:tcPr>
          <w:p w:rsidR="00673CC8" w:rsidRDefault="00673CC8"/>
        </w:tc>
        <w:tc>
          <w:tcPr>
            <w:tcW w:w="5040" w:type="dxa"/>
            <w:vAlign w:val="center"/>
          </w:tcPr>
          <w:p w:rsidR="00673CC8" w:rsidRDefault="0021098A">
            <w:r>
              <w:t>Interpretive Mode – Listening or Reading</w:t>
            </w:r>
          </w:p>
        </w:tc>
      </w:tr>
      <w:tr w:rsidR="00673CC8">
        <w:trPr>
          <w:trHeight w:val="432"/>
        </w:trPr>
        <w:tc>
          <w:tcPr>
            <w:tcW w:w="810" w:type="dxa"/>
            <w:vAlign w:val="center"/>
          </w:tcPr>
          <w:p w:rsidR="00673CC8" w:rsidRDefault="00673CC8"/>
        </w:tc>
        <w:tc>
          <w:tcPr>
            <w:tcW w:w="3510" w:type="dxa"/>
            <w:vAlign w:val="center"/>
          </w:tcPr>
          <w:p w:rsidR="00673CC8" w:rsidRDefault="0021098A">
            <w:r>
              <w:t>Language Structure/Grammar</w:t>
            </w:r>
          </w:p>
        </w:tc>
        <w:tc>
          <w:tcPr>
            <w:tcW w:w="540" w:type="dxa"/>
            <w:vAlign w:val="center"/>
          </w:tcPr>
          <w:p w:rsidR="00673CC8" w:rsidRDefault="00673CC8"/>
        </w:tc>
        <w:tc>
          <w:tcPr>
            <w:tcW w:w="5040" w:type="dxa"/>
            <w:vAlign w:val="center"/>
          </w:tcPr>
          <w:p w:rsidR="00673CC8" w:rsidRDefault="0021098A">
            <w:r>
              <w:t>Interpersonal Mode - Speaking</w:t>
            </w:r>
          </w:p>
        </w:tc>
      </w:tr>
      <w:tr w:rsidR="00673CC8">
        <w:trPr>
          <w:trHeight w:val="432"/>
        </w:trPr>
        <w:tc>
          <w:tcPr>
            <w:tcW w:w="810" w:type="dxa"/>
            <w:vAlign w:val="center"/>
          </w:tcPr>
          <w:p w:rsidR="00673CC8" w:rsidRDefault="00673CC8"/>
        </w:tc>
        <w:tc>
          <w:tcPr>
            <w:tcW w:w="3510" w:type="dxa"/>
            <w:vAlign w:val="center"/>
          </w:tcPr>
          <w:p w:rsidR="00673CC8" w:rsidRDefault="0021098A">
            <w:r>
              <w:t>Culture Concept</w:t>
            </w:r>
          </w:p>
        </w:tc>
        <w:tc>
          <w:tcPr>
            <w:tcW w:w="540" w:type="dxa"/>
            <w:vAlign w:val="center"/>
          </w:tcPr>
          <w:p w:rsidR="00673CC8" w:rsidRDefault="00673CC8"/>
        </w:tc>
        <w:tc>
          <w:tcPr>
            <w:tcW w:w="5040" w:type="dxa"/>
            <w:vAlign w:val="center"/>
          </w:tcPr>
          <w:p w:rsidR="00673CC8" w:rsidRDefault="0021098A">
            <w:r>
              <w:t>Presentational Mode – Speaking or Writing</w:t>
            </w:r>
          </w:p>
        </w:tc>
      </w:tr>
    </w:tbl>
    <w:p w:rsidR="00034644" w:rsidRDefault="00034644" w:rsidP="0021098A">
      <w:r>
        <w:tab/>
      </w:r>
    </w:p>
    <w:tbl>
      <w:tblPr>
        <w:tblStyle w:val="TableGrid"/>
        <w:tblW w:w="0" w:type="auto"/>
        <w:tblLook w:val="00BF"/>
      </w:tblPr>
      <w:tblGrid>
        <w:gridCol w:w="4392"/>
        <w:gridCol w:w="7506"/>
      </w:tblGrid>
      <w:tr w:rsidR="00034644">
        <w:trPr>
          <w:trHeight w:val="576"/>
        </w:trPr>
        <w:tc>
          <w:tcPr>
            <w:tcW w:w="4392" w:type="dxa"/>
            <w:vMerge w:val="restart"/>
            <w:vAlign w:val="center"/>
          </w:tcPr>
          <w:p w:rsidR="00034644" w:rsidRDefault="00034644" w:rsidP="00034644">
            <w:r w:rsidRPr="00B85803">
              <w:rPr>
                <w:b/>
              </w:rPr>
              <w:t>Functional Language Goal(s):</w:t>
            </w:r>
          </w:p>
        </w:tc>
        <w:tc>
          <w:tcPr>
            <w:tcW w:w="7506" w:type="dxa"/>
            <w:vAlign w:val="center"/>
          </w:tcPr>
          <w:p w:rsidR="00034644" w:rsidRDefault="00034644" w:rsidP="0021098A">
            <w:r>
              <w:t>•</w:t>
            </w:r>
          </w:p>
        </w:tc>
      </w:tr>
      <w:tr w:rsidR="00034644">
        <w:trPr>
          <w:trHeight w:val="576"/>
        </w:trPr>
        <w:tc>
          <w:tcPr>
            <w:tcW w:w="4392" w:type="dxa"/>
            <w:vMerge/>
          </w:tcPr>
          <w:p w:rsidR="00034644" w:rsidRDefault="00034644" w:rsidP="0021098A"/>
        </w:tc>
        <w:tc>
          <w:tcPr>
            <w:tcW w:w="7506" w:type="dxa"/>
            <w:vAlign w:val="center"/>
          </w:tcPr>
          <w:p w:rsidR="00034644" w:rsidRDefault="00034644" w:rsidP="0021098A">
            <w:r>
              <w:t>•</w:t>
            </w:r>
          </w:p>
        </w:tc>
      </w:tr>
    </w:tbl>
    <w:p w:rsidR="00673CC8" w:rsidRDefault="00673CC8" w:rsidP="00F734CB">
      <w:pPr>
        <w:sectPr w:rsidR="00673CC8">
          <w:pgSz w:w="15840" w:h="12240" w:orient="landscape"/>
          <w:pgMar w:top="1440" w:right="1440" w:bottom="1440" w:left="1440" w:gutter="0"/>
          <w:printerSettings r:id="rId5"/>
        </w:sectPr>
      </w:pPr>
    </w:p>
    <w:p w:rsidR="00EB484A" w:rsidRDefault="00EB484A" w:rsidP="00F734CB"/>
    <w:p w:rsidR="00277876" w:rsidRDefault="00277876" w:rsidP="00F734CB"/>
    <w:tbl>
      <w:tblPr>
        <w:tblStyle w:val="TableGrid"/>
        <w:tblW w:w="13158" w:type="dxa"/>
        <w:tblLayout w:type="fixed"/>
        <w:tblLook w:val="00BF"/>
      </w:tblPr>
      <w:tblGrid>
        <w:gridCol w:w="2866"/>
        <w:gridCol w:w="2896"/>
        <w:gridCol w:w="2896"/>
        <w:gridCol w:w="1080"/>
        <w:gridCol w:w="1260"/>
        <w:gridCol w:w="2160"/>
      </w:tblGrid>
      <w:tr w:rsidR="00EB484A" w:rsidRPr="00C82CA3">
        <w:trPr>
          <w:cantSplit/>
          <w:trHeight w:val="1360"/>
        </w:trPr>
        <w:tc>
          <w:tcPr>
            <w:tcW w:w="2866" w:type="dxa"/>
            <w:vMerge w:val="restart"/>
          </w:tcPr>
          <w:p w:rsidR="00EB484A" w:rsidRDefault="00EB484A" w:rsidP="00F734CB"/>
        </w:tc>
        <w:tc>
          <w:tcPr>
            <w:tcW w:w="5792" w:type="dxa"/>
            <w:gridSpan w:val="2"/>
            <w:vAlign w:val="center"/>
          </w:tcPr>
          <w:p w:rsidR="00EB484A" w:rsidRPr="00EB484A" w:rsidRDefault="00EB484A" w:rsidP="00EB484A">
            <w:pPr>
              <w:jc w:val="center"/>
              <w:rPr>
                <w:b/>
              </w:rPr>
            </w:pPr>
            <w:r w:rsidRPr="00C82CA3">
              <w:rPr>
                <w:b/>
              </w:rPr>
              <w:t>Procedures</w:t>
            </w:r>
          </w:p>
          <w:p w:rsidR="00EB484A" w:rsidRPr="00AE16DB" w:rsidRDefault="00EB484A" w:rsidP="00F734CB">
            <w:pPr>
              <w:rPr>
                <w:sz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EB484A" w:rsidRDefault="00EB484A" w:rsidP="00C82CA3">
            <w:pPr>
              <w:jc w:val="center"/>
              <w:rPr>
                <w:b/>
              </w:rPr>
            </w:pPr>
            <w:r>
              <w:rPr>
                <w:b/>
              </w:rPr>
              <w:t xml:space="preserve">Mode </w:t>
            </w:r>
          </w:p>
          <w:p w:rsidR="00EB484A" w:rsidRPr="00C82CA3" w:rsidRDefault="00EB484A" w:rsidP="00C82CA3">
            <w:pPr>
              <w:jc w:val="center"/>
              <w:rPr>
                <w:b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EB484A" w:rsidRDefault="00EB484A" w:rsidP="00EB484A">
            <w:pPr>
              <w:jc w:val="center"/>
              <w:rPr>
                <w:b/>
              </w:rPr>
            </w:pPr>
            <w:r w:rsidRPr="00C82CA3">
              <w:rPr>
                <w:b/>
              </w:rPr>
              <w:t>Time</w:t>
            </w:r>
          </w:p>
          <w:p w:rsidR="00EB484A" w:rsidRDefault="00EB484A" w:rsidP="00EB484A">
            <w:pPr>
              <w:jc w:val="center"/>
              <w:rPr>
                <w:b/>
              </w:rPr>
            </w:pPr>
          </w:p>
          <w:p w:rsidR="00EB484A" w:rsidRPr="00CE2C03" w:rsidRDefault="00EB484A" w:rsidP="00EB48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How much time will you spend throughout the class, if not all at one time?</w:t>
            </w:r>
          </w:p>
        </w:tc>
        <w:tc>
          <w:tcPr>
            <w:tcW w:w="2160" w:type="dxa"/>
            <w:vMerge w:val="restart"/>
          </w:tcPr>
          <w:p w:rsidR="00EB484A" w:rsidRPr="00C82CA3" w:rsidRDefault="00EB484A" w:rsidP="00C82CA3">
            <w:pPr>
              <w:jc w:val="center"/>
              <w:rPr>
                <w:b/>
              </w:rPr>
            </w:pPr>
            <w:r w:rsidRPr="00C82CA3">
              <w:rPr>
                <w:b/>
              </w:rPr>
              <w:t>Materials</w:t>
            </w:r>
            <w:r>
              <w:rPr>
                <w:b/>
              </w:rPr>
              <w:t>/</w:t>
            </w:r>
          </w:p>
          <w:p w:rsidR="00EB484A" w:rsidRPr="00C82CA3" w:rsidRDefault="00EB484A" w:rsidP="00C82CA3">
            <w:pPr>
              <w:jc w:val="center"/>
              <w:rPr>
                <w:b/>
              </w:rPr>
            </w:pPr>
            <w:r w:rsidRPr="00C82CA3">
              <w:rPr>
                <w:b/>
              </w:rPr>
              <w:t>Resources</w:t>
            </w:r>
            <w:r>
              <w:rPr>
                <w:b/>
              </w:rPr>
              <w:t>/</w:t>
            </w:r>
          </w:p>
          <w:p w:rsidR="00EB484A" w:rsidRDefault="00EB484A" w:rsidP="00AE16DB">
            <w:pPr>
              <w:jc w:val="center"/>
              <w:rPr>
                <w:b/>
              </w:rPr>
            </w:pPr>
            <w:r w:rsidRPr="00C82CA3">
              <w:rPr>
                <w:b/>
              </w:rPr>
              <w:t>Technology</w:t>
            </w:r>
          </w:p>
          <w:p w:rsidR="00EB484A" w:rsidRPr="00AE16DB" w:rsidRDefault="00EB484A" w:rsidP="00EB48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Be specific. What publisher produced materials will you use? What materials will you develop? What materials will you bring in from other sources?</w:t>
            </w:r>
          </w:p>
        </w:tc>
      </w:tr>
      <w:tr w:rsidR="00EB484A" w:rsidRPr="00C82CA3">
        <w:trPr>
          <w:cantSplit/>
          <w:trHeight w:val="1360"/>
        </w:trPr>
        <w:tc>
          <w:tcPr>
            <w:tcW w:w="2866" w:type="dxa"/>
            <w:vMerge/>
          </w:tcPr>
          <w:p w:rsidR="00EB484A" w:rsidRDefault="00EB484A" w:rsidP="00F734CB"/>
        </w:tc>
        <w:tc>
          <w:tcPr>
            <w:tcW w:w="2896" w:type="dxa"/>
            <w:vAlign w:val="center"/>
          </w:tcPr>
          <w:p w:rsidR="00EB484A" w:rsidRPr="00C82CA3" w:rsidRDefault="00EB484A" w:rsidP="00EB484A">
            <w:pPr>
              <w:jc w:val="center"/>
              <w:rPr>
                <w:b/>
              </w:rPr>
            </w:pPr>
            <w:r w:rsidRPr="00EB484A">
              <w:rPr>
                <w:b/>
                <w:sz w:val="20"/>
              </w:rPr>
              <w:t>What will you do as the teacher?</w:t>
            </w:r>
          </w:p>
        </w:tc>
        <w:tc>
          <w:tcPr>
            <w:tcW w:w="2896" w:type="dxa"/>
            <w:vAlign w:val="center"/>
          </w:tcPr>
          <w:p w:rsidR="00EB484A" w:rsidRPr="00C82CA3" w:rsidRDefault="00EB484A" w:rsidP="00EB484A">
            <w:pPr>
              <w:jc w:val="center"/>
              <w:rPr>
                <w:b/>
              </w:rPr>
            </w:pPr>
            <w:r w:rsidRPr="00EB484A">
              <w:rPr>
                <w:b/>
                <w:sz w:val="20"/>
              </w:rPr>
              <w:t>What will students do?</w:t>
            </w:r>
          </w:p>
        </w:tc>
        <w:tc>
          <w:tcPr>
            <w:tcW w:w="1080" w:type="dxa"/>
            <w:vMerge/>
            <w:vAlign w:val="center"/>
          </w:tcPr>
          <w:p w:rsidR="00EB484A" w:rsidRDefault="00EB484A" w:rsidP="00C82CA3">
            <w:pPr>
              <w:jc w:val="center"/>
              <w:rPr>
                <w:b/>
              </w:rPr>
            </w:pPr>
          </w:p>
        </w:tc>
        <w:tc>
          <w:tcPr>
            <w:tcW w:w="1260" w:type="dxa"/>
            <w:vMerge/>
            <w:vAlign w:val="center"/>
          </w:tcPr>
          <w:p w:rsidR="00EB484A" w:rsidRPr="00C82CA3" w:rsidRDefault="00EB484A" w:rsidP="00EB484A">
            <w:pPr>
              <w:jc w:val="center"/>
              <w:rPr>
                <w:b/>
              </w:rPr>
            </w:pPr>
          </w:p>
        </w:tc>
        <w:tc>
          <w:tcPr>
            <w:tcW w:w="2160" w:type="dxa"/>
            <w:vMerge/>
          </w:tcPr>
          <w:p w:rsidR="00EB484A" w:rsidRPr="00C82CA3" w:rsidRDefault="00EB484A" w:rsidP="00C82CA3">
            <w:pPr>
              <w:jc w:val="center"/>
              <w:rPr>
                <w:b/>
              </w:rPr>
            </w:pPr>
          </w:p>
        </w:tc>
      </w:tr>
      <w:tr w:rsidR="00EB484A">
        <w:trPr>
          <w:cantSplit/>
        </w:trPr>
        <w:tc>
          <w:tcPr>
            <w:tcW w:w="2866" w:type="dxa"/>
          </w:tcPr>
          <w:p w:rsidR="00EB484A" w:rsidRDefault="00EB484A" w:rsidP="00F734CB">
            <w:r w:rsidRPr="009330C7">
              <w:rPr>
                <w:b/>
              </w:rPr>
              <w:t>Anticipatory Set</w:t>
            </w:r>
            <w:r>
              <w:rPr>
                <w:b/>
              </w:rPr>
              <w:t xml:space="preserve"> </w:t>
            </w:r>
            <w:r>
              <w:t>-</w:t>
            </w:r>
          </w:p>
          <w:p w:rsidR="00EB484A" w:rsidRDefault="00EB484A" w:rsidP="00F734CB">
            <w:proofErr w:type="gramStart"/>
            <w:r>
              <w:t>get</w:t>
            </w:r>
            <w:proofErr w:type="gramEnd"/>
            <w:r>
              <w:t xml:space="preserve"> students’ attention, state objectives, warm-up connected to lesson goals</w:t>
            </w:r>
          </w:p>
        </w:tc>
        <w:tc>
          <w:tcPr>
            <w:tcW w:w="2896" w:type="dxa"/>
            <w:shd w:val="clear" w:color="auto" w:fill="auto"/>
          </w:tcPr>
          <w:p w:rsidR="00EB484A" w:rsidRPr="00873F97" w:rsidRDefault="00EB484A" w:rsidP="00EB484A">
            <w:pPr>
              <w:rPr>
                <w:i/>
                <w:sz w:val="20"/>
              </w:rPr>
            </w:pPr>
          </w:p>
        </w:tc>
        <w:tc>
          <w:tcPr>
            <w:tcW w:w="2896" w:type="dxa"/>
            <w:shd w:val="clear" w:color="auto" w:fill="auto"/>
          </w:tcPr>
          <w:p w:rsidR="00EB484A" w:rsidRDefault="00EB484A" w:rsidP="00F734CB"/>
        </w:tc>
        <w:tc>
          <w:tcPr>
            <w:tcW w:w="1080" w:type="dxa"/>
          </w:tcPr>
          <w:p w:rsidR="00EB484A" w:rsidRDefault="00EB484A" w:rsidP="00F734CB"/>
        </w:tc>
        <w:tc>
          <w:tcPr>
            <w:tcW w:w="1260" w:type="dxa"/>
          </w:tcPr>
          <w:p w:rsidR="00EB484A" w:rsidRDefault="00EB484A" w:rsidP="00F734CB"/>
        </w:tc>
        <w:tc>
          <w:tcPr>
            <w:tcW w:w="2160" w:type="dxa"/>
          </w:tcPr>
          <w:p w:rsidR="00EB484A" w:rsidRDefault="00EB484A" w:rsidP="00F734CB"/>
        </w:tc>
      </w:tr>
      <w:tr w:rsidR="00EB484A">
        <w:trPr>
          <w:cantSplit/>
        </w:trPr>
        <w:tc>
          <w:tcPr>
            <w:tcW w:w="2866" w:type="dxa"/>
          </w:tcPr>
          <w:p w:rsidR="00EB484A" w:rsidRDefault="00EB484A" w:rsidP="00F734CB">
            <w:r w:rsidRPr="009330C7">
              <w:rPr>
                <w:b/>
              </w:rPr>
              <w:t>Providing Input</w:t>
            </w:r>
            <w:r>
              <w:t xml:space="preserve">  - engaging learners, teaching new concepts</w:t>
            </w:r>
          </w:p>
        </w:tc>
        <w:tc>
          <w:tcPr>
            <w:tcW w:w="2896" w:type="dxa"/>
            <w:shd w:val="clear" w:color="auto" w:fill="auto"/>
          </w:tcPr>
          <w:p w:rsidR="00EB484A" w:rsidRDefault="00EB484A" w:rsidP="00F734CB"/>
        </w:tc>
        <w:tc>
          <w:tcPr>
            <w:tcW w:w="2896" w:type="dxa"/>
            <w:shd w:val="clear" w:color="auto" w:fill="auto"/>
          </w:tcPr>
          <w:p w:rsidR="00EB484A" w:rsidRDefault="00EB484A" w:rsidP="00F734CB"/>
        </w:tc>
        <w:tc>
          <w:tcPr>
            <w:tcW w:w="1080" w:type="dxa"/>
          </w:tcPr>
          <w:p w:rsidR="00EB484A" w:rsidRDefault="00EB484A" w:rsidP="00F734CB"/>
        </w:tc>
        <w:tc>
          <w:tcPr>
            <w:tcW w:w="1260" w:type="dxa"/>
          </w:tcPr>
          <w:p w:rsidR="00EB484A" w:rsidRDefault="00EB484A" w:rsidP="00F734CB"/>
        </w:tc>
        <w:tc>
          <w:tcPr>
            <w:tcW w:w="2160" w:type="dxa"/>
          </w:tcPr>
          <w:p w:rsidR="00EB484A" w:rsidRDefault="00EB484A" w:rsidP="00F734CB"/>
        </w:tc>
      </w:tr>
      <w:tr w:rsidR="00EB484A">
        <w:trPr>
          <w:cantSplit/>
        </w:trPr>
        <w:tc>
          <w:tcPr>
            <w:tcW w:w="2866" w:type="dxa"/>
          </w:tcPr>
          <w:p w:rsidR="00EB484A" w:rsidRDefault="00EB484A" w:rsidP="009239D6">
            <w:r w:rsidRPr="009330C7">
              <w:rPr>
                <w:b/>
              </w:rPr>
              <w:t>Guided Participation</w:t>
            </w:r>
            <w:r>
              <w:t xml:space="preserve"> – student output leading to meaningful interaction</w:t>
            </w:r>
          </w:p>
        </w:tc>
        <w:tc>
          <w:tcPr>
            <w:tcW w:w="2896" w:type="dxa"/>
            <w:shd w:val="clear" w:color="auto" w:fill="auto"/>
          </w:tcPr>
          <w:p w:rsidR="00EB484A" w:rsidRDefault="00EB484A" w:rsidP="00F734CB"/>
        </w:tc>
        <w:tc>
          <w:tcPr>
            <w:tcW w:w="2896" w:type="dxa"/>
            <w:shd w:val="clear" w:color="auto" w:fill="auto"/>
          </w:tcPr>
          <w:p w:rsidR="00EB484A" w:rsidRDefault="00EB484A" w:rsidP="00F734CB"/>
        </w:tc>
        <w:tc>
          <w:tcPr>
            <w:tcW w:w="1080" w:type="dxa"/>
          </w:tcPr>
          <w:p w:rsidR="00EB484A" w:rsidRDefault="00EB484A" w:rsidP="00F734CB"/>
        </w:tc>
        <w:tc>
          <w:tcPr>
            <w:tcW w:w="1260" w:type="dxa"/>
          </w:tcPr>
          <w:p w:rsidR="00EB484A" w:rsidRDefault="00EB484A" w:rsidP="00F734CB"/>
        </w:tc>
        <w:tc>
          <w:tcPr>
            <w:tcW w:w="2160" w:type="dxa"/>
          </w:tcPr>
          <w:p w:rsidR="00EB484A" w:rsidRDefault="00EB484A" w:rsidP="00F734CB"/>
        </w:tc>
      </w:tr>
      <w:tr w:rsidR="00EB484A">
        <w:trPr>
          <w:cantSplit/>
        </w:trPr>
        <w:tc>
          <w:tcPr>
            <w:tcW w:w="2866" w:type="dxa"/>
          </w:tcPr>
          <w:p w:rsidR="00EB484A" w:rsidRDefault="00EB484A" w:rsidP="00F734CB">
            <w:r w:rsidRPr="009330C7">
              <w:rPr>
                <w:b/>
              </w:rPr>
              <w:t>Application</w:t>
            </w:r>
            <w:r>
              <w:t xml:space="preserve"> – appropriately </w:t>
            </w:r>
            <w:proofErr w:type="spellStart"/>
            <w:r>
              <w:t>scaffolded</w:t>
            </w:r>
            <w:proofErr w:type="spellEnd"/>
            <w:r>
              <w:t xml:space="preserve"> leading to independent communication</w:t>
            </w:r>
          </w:p>
        </w:tc>
        <w:tc>
          <w:tcPr>
            <w:tcW w:w="2896" w:type="dxa"/>
            <w:shd w:val="clear" w:color="auto" w:fill="auto"/>
          </w:tcPr>
          <w:p w:rsidR="00EB484A" w:rsidRDefault="00EB484A" w:rsidP="00F734CB"/>
        </w:tc>
        <w:tc>
          <w:tcPr>
            <w:tcW w:w="2896" w:type="dxa"/>
            <w:shd w:val="clear" w:color="auto" w:fill="auto"/>
          </w:tcPr>
          <w:p w:rsidR="00EB484A" w:rsidRDefault="00EB484A" w:rsidP="00F734CB"/>
        </w:tc>
        <w:tc>
          <w:tcPr>
            <w:tcW w:w="1080" w:type="dxa"/>
          </w:tcPr>
          <w:p w:rsidR="00EB484A" w:rsidRDefault="00EB484A" w:rsidP="00F734CB"/>
        </w:tc>
        <w:tc>
          <w:tcPr>
            <w:tcW w:w="1260" w:type="dxa"/>
          </w:tcPr>
          <w:p w:rsidR="00EB484A" w:rsidRDefault="00EB484A" w:rsidP="00F734CB"/>
        </w:tc>
        <w:tc>
          <w:tcPr>
            <w:tcW w:w="2160" w:type="dxa"/>
          </w:tcPr>
          <w:p w:rsidR="00EB484A" w:rsidRDefault="00EB484A" w:rsidP="00F734CB"/>
        </w:tc>
      </w:tr>
      <w:tr w:rsidR="00EB484A">
        <w:trPr>
          <w:cantSplit/>
        </w:trPr>
        <w:tc>
          <w:tcPr>
            <w:tcW w:w="2866" w:type="dxa"/>
          </w:tcPr>
          <w:p w:rsidR="00EB484A" w:rsidRPr="009330C7" w:rsidRDefault="00EB484A" w:rsidP="00F734CB">
            <w:pPr>
              <w:rPr>
                <w:b/>
              </w:rPr>
            </w:pPr>
            <w:r w:rsidRPr="009330C7">
              <w:rPr>
                <w:b/>
              </w:rPr>
              <w:t>Providing Input</w:t>
            </w:r>
            <w:r>
              <w:t xml:space="preserve">  - engaging learners, teaching new concepts</w:t>
            </w:r>
          </w:p>
        </w:tc>
        <w:tc>
          <w:tcPr>
            <w:tcW w:w="2896" w:type="dxa"/>
            <w:shd w:val="clear" w:color="auto" w:fill="auto"/>
          </w:tcPr>
          <w:p w:rsidR="00EB484A" w:rsidRPr="00873F97" w:rsidRDefault="00EB484A" w:rsidP="00F734CB">
            <w:pPr>
              <w:rPr>
                <w:i/>
                <w:sz w:val="20"/>
              </w:rPr>
            </w:pPr>
            <w:proofErr w:type="gramStart"/>
            <w:r w:rsidRPr="00873F97">
              <w:rPr>
                <w:i/>
                <w:sz w:val="20"/>
              </w:rPr>
              <w:t>if</w:t>
            </w:r>
            <w:proofErr w:type="gramEnd"/>
            <w:r w:rsidRPr="00873F97">
              <w:rPr>
                <w:i/>
                <w:sz w:val="20"/>
              </w:rPr>
              <w:t xml:space="preserve"> applicable</w:t>
            </w:r>
            <w:r>
              <w:rPr>
                <w:i/>
                <w:sz w:val="20"/>
              </w:rPr>
              <w:t>*</w:t>
            </w:r>
          </w:p>
        </w:tc>
        <w:tc>
          <w:tcPr>
            <w:tcW w:w="2896" w:type="dxa"/>
            <w:shd w:val="clear" w:color="auto" w:fill="auto"/>
          </w:tcPr>
          <w:p w:rsidR="00EB484A" w:rsidRPr="00873F97" w:rsidRDefault="00EB484A" w:rsidP="00F734CB">
            <w:pPr>
              <w:rPr>
                <w:i/>
                <w:sz w:val="20"/>
              </w:rPr>
            </w:pPr>
          </w:p>
        </w:tc>
        <w:tc>
          <w:tcPr>
            <w:tcW w:w="1080" w:type="dxa"/>
          </w:tcPr>
          <w:p w:rsidR="00EB484A" w:rsidRDefault="00EB484A" w:rsidP="00F734CB"/>
        </w:tc>
        <w:tc>
          <w:tcPr>
            <w:tcW w:w="1260" w:type="dxa"/>
          </w:tcPr>
          <w:p w:rsidR="00EB484A" w:rsidRDefault="00EB484A" w:rsidP="00F734CB"/>
        </w:tc>
        <w:tc>
          <w:tcPr>
            <w:tcW w:w="2160" w:type="dxa"/>
          </w:tcPr>
          <w:p w:rsidR="00EB484A" w:rsidRDefault="00EB484A" w:rsidP="00F734CB"/>
        </w:tc>
      </w:tr>
      <w:tr w:rsidR="00EB484A">
        <w:trPr>
          <w:cantSplit/>
        </w:trPr>
        <w:tc>
          <w:tcPr>
            <w:tcW w:w="2866" w:type="dxa"/>
          </w:tcPr>
          <w:p w:rsidR="00EB484A" w:rsidRDefault="00EB484A" w:rsidP="00F734CB">
            <w:r w:rsidRPr="009330C7">
              <w:rPr>
                <w:b/>
              </w:rPr>
              <w:t>Guided Participation</w:t>
            </w:r>
            <w:r>
              <w:t xml:space="preserve"> – student output leading to</w:t>
            </w:r>
          </w:p>
          <w:p w:rsidR="00EB484A" w:rsidRPr="009330C7" w:rsidRDefault="00EB484A" w:rsidP="00F734CB">
            <w:pPr>
              <w:rPr>
                <w:b/>
              </w:rPr>
            </w:pPr>
            <w:proofErr w:type="gramStart"/>
            <w:r>
              <w:t>meaningful</w:t>
            </w:r>
            <w:proofErr w:type="gramEnd"/>
            <w:r>
              <w:t xml:space="preserve"> interaction</w:t>
            </w:r>
          </w:p>
        </w:tc>
        <w:tc>
          <w:tcPr>
            <w:tcW w:w="2896" w:type="dxa"/>
            <w:shd w:val="clear" w:color="auto" w:fill="auto"/>
          </w:tcPr>
          <w:p w:rsidR="00EB484A" w:rsidRPr="00873F97" w:rsidRDefault="00EB484A" w:rsidP="00F734CB">
            <w:pPr>
              <w:rPr>
                <w:i/>
                <w:sz w:val="20"/>
              </w:rPr>
            </w:pPr>
            <w:proofErr w:type="gramStart"/>
            <w:r w:rsidRPr="00873F97">
              <w:rPr>
                <w:i/>
                <w:sz w:val="20"/>
              </w:rPr>
              <w:t>if</w:t>
            </w:r>
            <w:proofErr w:type="gramEnd"/>
            <w:r w:rsidRPr="00873F97">
              <w:rPr>
                <w:i/>
                <w:sz w:val="20"/>
              </w:rPr>
              <w:t xml:space="preserve"> applicable</w:t>
            </w:r>
            <w:r>
              <w:rPr>
                <w:i/>
                <w:sz w:val="20"/>
              </w:rPr>
              <w:t>*</w:t>
            </w:r>
          </w:p>
        </w:tc>
        <w:tc>
          <w:tcPr>
            <w:tcW w:w="2896" w:type="dxa"/>
            <w:shd w:val="clear" w:color="auto" w:fill="auto"/>
          </w:tcPr>
          <w:p w:rsidR="00EB484A" w:rsidRPr="00873F97" w:rsidRDefault="00EB484A" w:rsidP="00F734CB">
            <w:pPr>
              <w:rPr>
                <w:i/>
                <w:sz w:val="20"/>
              </w:rPr>
            </w:pPr>
          </w:p>
        </w:tc>
        <w:tc>
          <w:tcPr>
            <w:tcW w:w="1080" w:type="dxa"/>
          </w:tcPr>
          <w:p w:rsidR="00EB484A" w:rsidRDefault="00EB484A" w:rsidP="00F734CB"/>
        </w:tc>
        <w:tc>
          <w:tcPr>
            <w:tcW w:w="1260" w:type="dxa"/>
          </w:tcPr>
          <w:p w:rsidR="00EB484A" w:rsidRDefault="00EB484A" w:rsidP="00F734CB"/>
        </w:tc>
        <w:tc>
          <w:tcPr>
            <w:tcW w:w="2160" w:type="dxa"/>
          </w:tcPr>
          <w:p w:rsidR="00EB484A" w:rsidRDefault="00EB484A" w:rsidP="00F734CB"/>
        </w:tc>
      </w:tr>
      <w:tr w:rsidR="00EB484A">
        <w:trPr>
          <w:cantSplit/>
        </w:trPr>
        <w:tc>
          <w:tcPr>
            <w:tcW w:w="2866" w:type="dxa"/>
          </w:tcPr>
          <w:p w:rsidR="00EB484A" w:rsidRPr="009330C7" w:rsidRDefault="00EB484A" w:rsidP="00F734CB">
            <w:pPr>
              <w:rPr>
                <w:b/>
              </w:rPr>
            </w:pPr>
            <w:r w:rsidRPr="009330C7">
              <w:rPr>
                <w:b/>
              </w:rPr>
              <w:t>Application</w:t>
            </w:r>
            <w:r>
              <w:t xml:space="preserve"> – appropriately </w:t>
            </w:r>
            <w:proofErr w:type="spellStart"/>
            <w:r>
              <w:t>scaffolded</w:t>
            </w:r>
            <w:proofErr w:type="spellEnd"/>
            <w:r>
              <w:t xml:space="preserve"> leading to independent communication</w:t>
            </w:r>
          </w:p>
        </w:tc>
        <w:tc>
          <w:tcPr>
            <w:tcW w:w="2896" w:type="dxa"/>
            <w:shd w:val="clear" w:color="auto" w:fill="auto"/>
          </w:tcPr>
          <w:p w:rsidR="00EB484A" w:rsidRPr="00873F97" w:rsidRDefault="00EB484A" w:rsidP="00EB484A">
            <w:pPr>
              <w:rPr>
                <w:i/>
                <w:sz w:val="20"/>
              </w:rPr>
            </w:pPr>
            <w:proofErr w:type="gramStart"/>
            <w:r w:rsidRPr="00873F97">
              <w:rPr>
                <w:i/>
                <w:sz w:val="20"/>
              </w:rPr>
              <w:t>if</w:t>
            </w:r>
            <w:proofErr w:type="gramEnd"/>
            <w:r w:rsidRPr="00873F97">
              <w:rPr>
                <w:i/>
                <w:sz w:val="20"/>
              </w:rPr>
              <w:t xml:space="preserve"> applicable</w:t>
            </w:r>
            <w:r>
              <w:rPr>
                <w:i/>
                <w:sz w:val="20"/>
              </w:rPr>
              <w:t>*</w:t>
            </w:r>
          </w:p>
          <w:p w:rsidR="00EB484A" w:rsidRPr="00873F97" w:rsidRDefault="00EB484A" w:rsidP="00F734CB">
            <w:pPr>
              <w:rPr>
                <w:i/>
                <w:sz w:val="20"/>
              </w:rPr>
            </w:pPr>
          </w:p>
        </w:tc>
        <w:tc>
          <w:tcPr>
            <w:tcW w:w="2896" w:type="dxa"/>
            <w:shd w:val="clear" w:color="auto" w:fill="auto"/>
          </w:tcPr>
          <w:p w:rsidR="00EB484A" w:rsidRPr="00873F97" w:rsidRDefault="00EB484A" w:rsidP="00F734CB">
            <w:pPr>
              <w:rPr>
                <w:i/>
                <w:sz w:val="20"/>
              </w:rPr>
            </w:pPr>
          </w:p>
        </w:tc>
        <w:tc>
          <w:tcPr>
            <w:tcW w:w="1080" w:type="dxa"/>
          </w:tcPr>
          <w:p w:rsidR="00EB484A" w:rsidRDefault="00EB484A" w:rsidP="00F734CB"/>
        </w:tc>
        <w:tc>
          <w:tcPr>
            <w:tcW w:w="1260" w:type="dxa"/>
          </w:tcPr>
          <w:p w:rsidR="00EB484A" w:rsidRDefault="00EB484A" w:rsidP="00F734CB"/>
        </w:tc>
        <w:tc>
          <w:tcPr>
            <w:tcW w:w="2160" w:type="dxa"/>
          </w:tcPr>
          <w:p w:rsidR="00EB484A" w:rsidRDefault="00EB484A" w:rsidP="00F734CB"/>
        </w:tc>
      </w:tr>
      <w:tr w:rsidR="00EB484A">
        <w:trPr>
          <w:cantSplit/>
        </w:trPr>
        <w:tc>
          <w:tcPr>
            <w:tcW w:w="2866" w:type="dxa"/>
          </w:tcPr>
          <w:p w:rsidR="00EB484A" w:rsidRDefault="00EB484A" w:rsidP="00F734CB">
            <w:r w:rsidRPr="00374FD2">
              <w:rPr>
                <w:b/>
              </w:rPr>
              <w:t>Closure / Summative</w:t>
            </w:r>
            <w:r>
              <w:t xml:space="preserve"> </w:t>
            </w:r>
            <w:r w:rsidRPr="00374FD2">
              <w:rPr>
                <w:b/>
              </w:rPr>
              <w:t>Assessment</w:t>
            </w:r>
            <w:r>
              <w:t xml:space="preserve"> – knowing that each student met the lesson goals</w:t>
            </w:r>
          </w:p>
        </w:tc>
        <w:tc>
          <w:tcPr>
            <w:tcW w:w="2896" w:type="dxa"/>
            <w:shd w:val="clear" w:color="auto" w:fill="auto"/>
          </w:tcPr>
          <w:p w:rsidR="00EB484A" w:rsidRDefault="00EB484A" w:rsidP="00F734CB"/>
        </w:tc>
        <w:tc>
          <w:tcPr>
            <w:tcW w:w="2896" w:type="dxa"/>
            <w:shd w:val="clear" w:color="auto" w:fill="auto"/>
          </w:tcPr>
          <w:p w:rsidR="00EB484A" w:rsidRDefault="00EB484A" w:rsidP="00F734CB"/>
        </w:tc>
        <w:tc>
          <w:tcPr>
            <w:tcW w:w="1080" w:type="dxa"/>
          </w:tcPr>
          <w:p w:rsidR="00EB484A" w:rsidRDefault="00EB484A" w:rsidP="00F734CB"/>
        </w:tc>
        <w:tc>
          <w:tcPr>
            <w:tcW w:w="1260" w:type="dxa"/>
          </w:tcPr>
          <w:p w:rsidR="00EB484A" w:rsidRDefault="00EB484A" w:rsidP="00F734CB"/>
        </w:tc>
        <w:tc>
          <w:tcPr>
            <w:tcW w:w="2160" w:type="dxa"/>
          </w:tcPr>
          <w:p w:rsidR="00EB484A" w:rsidRDefault="00EB484A" w:rsidP="00F734CB"/>
        </w:tc>
      </w:tr>
      <w:tr w:rsidR="00EB484A">
        <w:trPr>
          <w:cantSplit/>
        </w:trPr>
        <w:tc>
          <w:tcPr>
            <w:tcW w:w="2866" w:type="dxa"/>
          </w:tcPr>
          <w:p w:rsidR="00EB484A" w:rsidRDefault="00EB484A" w:rsidP="00F734CB">
            <w:r w:rsidRPr="009330C7">
              <w:rPr>
                <w:b/>
              </w:rPr>
              <w:t>Extension Activities</w:t>
            </w:r>
            <w:r>
              <w:t xml:space="preserve"> – </w:t>
            </w:r>
          </w:p>
          <w:p w:rsidR="00EB484A" w:rsidRDefault="00EB484A" w:rsidP="00F734CB">
            <w:proofErr w:type="gramStart"/>
            <w:r>
              <w:t>homework</w:t>
            </w:r>
            <w:proofErr w:type="gramEnd"/>
            <w:r>
              <w:t>, projects, etc, meaningful application of language goals</w:t>
            </w:r>
          </w:p>
        </w:tc>
        <w:tc>
          <w:tcPr>
            <w:tcW w:w="2896" w:type="dxa"/>
            <w:shd w:val="clear" w:color="auto" w:fill="auto"/>
          </w:tcPr>
          <w:p w:rsidR="00EB484A" w:rsidRDefault="00EB484A" w:rsidP="00F734CB"/>
        </w:tc>
        <w:tc>
          <w:tcPr>
            <w:tcW w:w="2896" w:type="dxa"/>
            <w:shd w:val="clear" w:color="auto" w:fill="auto"/>
          </w:tcPr>
          <w:p w:rsidR="00EB484A" w:rsidRDefault="00EB484A" w:rsidP="00F734CB"/>
        </w:tc>
        <w:tc>
          <w:tcPr>
            <w:tcW w:w="1080" w:type="dxa"/>
          </w:tcPr>
          <w:p w:rsidR="00EB484A" w:rsidRDefault="00EB484A" w:rsidP="00F734CB"/>
        </w:tc>
        <w:tc>
          <w:tcPr>
            <w:tcW w:w="1260" w:type="dxa"/>
          </w:tcPr>
          <w:p w:rsidR="00EB484A" w:rsidRDefault="00EB484A" w:rsidP="00F734CB"/>
        </w:tc>
        <w:tc>
          <w:tcPr>
            <w:tcW w:w="2160" w:type="dxa"/>
          </w:tcPr>
          <w:p w:rsidR="00EB484A" w:rsidRDefault="00EB484A" w:rsidP="00F734CB"/>
        </w:tc>
      </w:tr>
    </w:tbl>
    <w:p w:rsidR="004A5429" w:rsidRDefault="004A5429" w:rsidP="00F734CB"/>
    <w:p w:rsidR="004A5429" w:rsidRDefault="00F15734" w:rsidP="00F734CB">
      <w:r>
        <w:t>*Providing Input, Guided Participation, Application –</w:t>
      </w:r>
      <w:r w:rsidR="00DA0B90">
        <w:t xml:space="preserve"> These 3 will </w:t>
      </w:r>
      <w:r>
        <w:t xml:space="preserve">be repeated </w:t>
      </w:r>
      <w:r w:rsidR="00DA0B90">
        <w:t xml:space="preserve">as a cycle </w:t>
      </w:r>
      <w:r>
        <w:t>as often as necessary during a class. Brain research suggests that this cycle matches the attention span of the learner</w:t>
      </w:r>
      <w:r w:rsidR="00DA0B90">
        <w:t xml:space="preserve"> and would not exceed 20 minutes.  A 50-minute class would have 2 such cycles. A 90-minute block class would have 4. </w:t>
      </w:r>
    </w:p>
    <w:p w:rsidR="004A5429" w:rsidRDefault="004A5429" w:rsidP="00F734CB"/>
    <w:p w:rsidR="00034644" w:rsidRDefault="00034644" w:rsidP="00F734CB"/>
    <w:tbl>
      <w:tblPr>
        <w:tblStyle w:val="TableGrid"/>
        <w:tblW w:w="0" w:type="auto"/>
        <w:tblLook w:val="00BF"/>
      </w:tblPr>
      <w:tblGrid>
        <w:gridCol w:w="13176"/>
      </w:tblGrid>
      <w:tr w:rsidR="00034644">
        <w:tc>
          <w:tcPr>
            <w:tcW w:w="13176" w:type="dxa"/>
          </w:tcPr>
          <w:p w:rsidR="00034644" w:rsidRPr="00034644" w:rsidRDefault="00034644" w:rsidP="00034644">
            <w:pPr>
              <w:rPr>
                <w:b/>
              </w:rPr>
            </w:pPr>
            <w:r w:rsidRPr="00374FD2">
              <w:rPr>
                <w:b/>
              </w:rPr>
              <w:t>Comment on how this lesson connects to the 5C’s.  How does this lesson integrate language, culture and content?</w:t>
            </w:r>
          </w:p>
          <w:p w:rsidR="00034644" w:rsidRDefault="00034644" w:rsidP="00034644">
            <w:r>
              <w:rPr>
                <w:b/>
              </w:rPr>
              <w:t xml:space="preserve">        </w:t>
            </w:r>
            <w:r w:rsidRPr="00277876">
              <w:rPr>
                <w:b/>
              </w:rPr>
              <w:t>ACTFL 2c, 4b, 4c</w:t>
            </w:r>
            <w:r>
              <w:t xml:space="preserve"> </w:t>
            </w:r>
            <w:r>
              <w:tab/>
            </w:r>
            <w:r w:rsidRPr="00CE515B">
              <w:rPr>
                <w:b/>
              </w:rPr>
              <w:t>Culture Content</w:t>
            </w:r>
            <w:r>
              <w:t xml:space="preserve"> – Perspectives, Practices, Products: </w:t>
            </w:r>
          </w:p>
          <w:p w:rsidR="00034644" w:rsidRDefault="00034644" w:rsidP="00F734CB">
            <w:r>
              <w:rPr>
                <w:b/>
              </w:rPr>
              <w:t xml:space="preserve">        </w:t>
            </w:r>
            <w:r w:rsidRPr="00277876">
              <w:rPr>
                <w:b/>
              </w:rPr>
              <w:t>ACTFL 2c, 4b</w:t>
            </w:r>
            <w:r>
              <w:rPr>
                <w:b/>
              </w:rPr>
              <w:tab/>
            </w:r>
            <w:r>
              <w:tab/>
            </w:r>
            <w:r w:rsidRPr="00CE515B">
              <w:rPr>
                <w:b/>
              </w:rPr>
              <w:t>Connections</w:t>
            </w:r>
            <w:r>
              <w:t xml:space="preserve"> to other content areas: </w:t>
            </w:r>
          </w:p>
        </w:tc>
      </w:tr>
      <w:tr w:rsidR="00034644">
        <w:tc>
          <w:tcPr>
            <w:tcW w:w="13176" w:type="dxa"/>
          </w:tcPr>
          <w:p w:rsidR="00034644" w:rsidRDefault="00034644" w:rsidP="00F734CB"/>
          <w:p w:rsidR="00DA0B90" w:rsidRDefault="00DA0B90" w:rsidP="00F734CB"/>
          <w:p w:rsidR="00DA0B90" w:rsidRDefault="00DA0B90" w:rsidP="00F734CB"/>
          <w:p w:rsidR="00EB484A" w:rsidRDefault="00EB484A" w:rsidP="00F734CB"/>
          <w:p w:rsidR="00EB484A" w:rsidRDefault="00EB484A" w:rsidP="00F734CB"/>
          <w:p w:rsidR="00DA0B90" w:rsidRDefault="00DA0B90" w:rsidP="00F734CB"/>
          <w:p w:rsidR="00034644" w:rsidRDefault="00034644" w:rsidP="00F734CB"/>
          <w:p w:rsidR="00034644" w:rsidRDefault="00034644" w:rsidP="00F734CB"/>
        </w:tc>
      </w:tr>
    </w:tbl>
    <w:p w:rsidR="00F734CB" w:rsidRDefault="00F734CB" w:rsidP="00F734CB"/>
    <w:tbl>
      <w:tblPr>
        <w:tblStyle w:val="TableGrid"/>
        <w:tblW w:w="0" w:type="auto"/>
        <w:tblLook w:val="00BF"/>
      </w:tblPr>
      <w:tblGrid>
        <w:gridCol w:w="13176"/>
      </w:tblGrid>
      <w:tr w:rsidR="00034644">
        <w:tc>
          <w:tcPr>
            <w:tcW w:w="13176" w:type="dxa"/>
          </w:tcPr>
          <w:p w:rsidR="00034644" w:rsidRDefault="00034644">
            <w:r w:rsidRPr="009330C7">
              <w:rPr>
                <w:b/>
              </w:rPr>
              <w:t>Self-Reflection</w:t>
            </w:r>
            <w:r>
              <w:t xml:space="preserve"> </w:t>
            </w:r>
            <w:r w:rsidRPr="00EB484A">
              <w:rPr>
                <w:b/>
              </w:rPr>
              <w:t xml:space="preserve">– </w:t>
            </w:r>
            <w:r w:rsidR="00EB484A" w:rsidRPr="00EB484A">
              <w:rPr>
                <w:b/>
              </w:rPr>
              <w:t>Respond as appropriate.</w:t>
            </w:r>
            <w:r w:rsidR="00EB484A">
              <w:t xml:space="preserve">  </w:t>
            </w:r>
            <w:r>
              <w:t>What worked, what didn’t work in this lesson? How would you adapt this lesson, how did you adapt this lesson during the day if it was taught more than once?</w:t>
            </w:r>
            <w:r w:rsidR="00EB484A">
              <w:t xml:space="preserve">  How did this lesson differentiate for individual learners? How did this lesson engage students in higher-order thinking? What components of the lesson allowed for self-assessment or provided opportunities for formative assessment? </w:t>
            </w:r>
          </w:p>
        </w:tc>
      </w:tr>
      <w:tr w:rsidR="00034644">
        <w:tc>
          <w:tcPr>
            <w:tcW w:w="13176" w:type="dxa"/>
          </w:tcPr>
          <w:p w:rsidR="00DA0B90" w:rsidRDefault="00DA0B90"/>
          <w:p w:rsidR="00DA0B90" w:rsidRDefault="00DA0B90"/>
          <w:p w:rsidR="00DA0B90" w:rsidRDefault="00DA0B90"/>
          <w:p w:rsidR="00034644" w:rsidRDefault="00034644"/>
          <w:p w:rsidR="00EB484A" w:rsidRDefault="00EB484A"/>
          <w:p w:rsidR="00EB484A" w:rsidRDefault="00EB484A"/>
          <w:p w:rsidR="00034644" w:rsidRDefault="00034644"/>
          <w:p w:rsidR="00034644" w:rsidRDefault="00034644"/>
          <w:p w:rsidR="00034644" w:rsidRDefault="00034644"/>
        </w:tc>
      </w:tr>
    </w:tbl>
    <w:tbl>
      <w:tblPr>
        <w:tblW w:w="1314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0"/>
        <w:gridCol w:w="2610"/>
        <w:gridCol w:w="2700"/>
        <w:gridCol w:w="3060"/>
        <w:gridCol w:w="3240"/>
      </w:tblGrid>
      <w:tr w:rsidR="00FF2DF9" w:rsidRPr="00CE3203">
        <w:trPr>
          <w:trHeight w:val="747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F9" w:rsidRPr="00B6468D" w:rsidRDefault="00FF2DF9" w:rsidP="001A204D">
            <w:pPr>
              <w:rPr>
                <w:rFonts w:ascii="Times New Roman" w:hAnsi="Times New Roman"/>
                <w:b/>
              </w:rPr>
            </w:pPr>
            <w:r w:rsidRPr="00B6468D">
              <w:rPr>
                <w:rFonts w:ascii="Times New Roman" w:hAnsi="Times New Roman"/>
                <w:b/>
                <w:sz w:val="22"/>
                <w:szCs w:val="22"/>
              </w:rPr>
              <w:t>Elements</w:t>
            </w:r>
          </w:p>
          <w:p w:rsidR="00FF2DF9" w:rsidRPr="00B6468D" w:rsidRDefault="00FF2DF9" w:rsidP="001A204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F9" w:rsidRPr="00B6468D" w:rsidRDefault="00FF2DF9" w:rsidP="001A204D">
            <w:pPr>
              <w:rPr>
                <w:rFonts w:ascii="Times New Roman" w:hAnsi="Times New Roman"/>
                <w:b/>
              </w:rPr>
            </w:pPr>
            <w:r w:rsidRPr="00B6468D">
              <w:rPr>
                <w:rFonts w:ascii="Times New Roman" w:hAnsi="Times New Roman"/>
                <w:b/>
                <w:sz w:val="22"/>
                <w:szCs w:val="22"/>
              </w:rPr>
              <w:t>Exceeds Standard</w:t>
            </w:r>
          </w:p>
          <w:p w:rsidR="00FF2DF9" w:rsidRPr="00B6468D" w:rsidRDefault="00FF2DF9" w:rsidP="001A204D">
            <w:pPr>
              <w:rPr>
                <w:rFonts w:ascii="Times New Roman" w:hAnsi="Times New Roman"/>
                <w:b/>
              </w:rPr>
            </w:pPr>
            <w:r w:rsidRPr="00B6468D">
              <w:rPr>
                <w:rFonts w:ascii="Times New Roman" w:hAnsi="Times New Roman"/>
                <w:b/>
                <w:sz w:val="22"/>
                <w:szCs w:val="22"/>
              </w:rPr>
              <w:t>Proficient 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F9" w:rsidRPr="00B6468D" w:rsidRDefault="00FF2DF9" w:rsidP="001A204D">
            <w:pPr>
              <w:rPr>
                <w:rFonts w:ascii="Times New Roman" w:hAnsi="Times New Roman"/>
                <w:b/>
              </w:rPr>
            </w:pPr>
            <w:r w:rsidRPr="00B6468D">
              <w:rPr>
                <w:rFonts w:ascii="Times New Roman" w:hAnsi="Times New Roman"/>
                <w:b/>
                <w:sz w:val="22"/>
                <w:szCs w:val="22"/>
              </w:rPr>
              <w:t>Meets Standard</w:t>
            </w:r>
          </w:p>
          <w:p w:rsidR="00FF2DF9" w:rsidRPr="00B6468D" w:rsidRDefault="00FF2DF9" w:rsidP="001A204D">
            <w:pPr>
              <w:rPr>
                <w:rFonts w:ascii="Times New Roman" w:hAnsi="Times New Roman"/>
                <w:b/>
              </w:rPr>
            </w:pPr>
            <w:r w:rsidRPr="00B6468D">
              <w:rPr>
                <w:rFonts w:ascii="Times New Roman" w:hAnsi="Times New Roman"/>
                <w:b/>
                <w:sz w:val="22"/>
                <w:szCs w:val="22"/>
              </w:rPr>
              <w:t>Competent 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F9" w:rsidRPr="00B6468D" w:rsidRDefault="00FF2DF9" w:rsidP="001A204D">
            <w:pPr>
              <w:rPr>
                <w:rFonts w:ascii="Times New Roman" w:hAnsi="Times New Roman"/>
                <w:b/>
              </w:rPr>
            </w:pPr>
            <w:r w:rsidRPr="00B6468D">
              <w:rPr>
                <w:rFonts w:ascii="Times New Roman" w:hAnsi="Times New Roman"/>
                <w:b/>
                <w:sz w:val="22"/>
                <w:szCs w:val="22"/>
              </w:rPr>
              <w:t>Approaches Standard</w:t>
            </w:r>
          </w:p>
          <w:p w:rsidR="00FF2DF9" w:rsidRPr="00B6468D" w:rsidRDefault="00FF2DF9" w:rsidP="001A204D">
            <w:pPr>
              <w:rPr>
                <w:rFonts w:ascii="Times New Roman" w:hAnsi="Times New Roman"/>
                <w:b/>
              </w:rPr>
            </w:pPr>
            <w:r w:rsidRPr="00B6468D">
              <w:rPr>
                <w:rFonts w:ascii="Times New Roman" w:hAnsi="Times New Roman"/>
                <w:b/>
                <w:sz w:val="22"/>
                <w:szCs w:val="22"/>
              </w:rPr>
              <w:t>Basic 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F9" w:rsidRPr="00B6468D" w:rsidRDefault="00FF2DF9" w:rsidP="001A204D">
            <w:pPr>
              <w:rPr>
                <w:rFonts w:ascii="Times New Roman" w:hAnsi="Times New Roman"/>
                <w:b/>
              </w:rPr>
            </w:pPr>
            <w:r w:rsidRPr="00B6468D">
              <w:rPr>
                <w:rFonts w:ascii="Times New Roman" w:hAnsi="Times New Roman"/>
                <w:b/>
                <w:sz w:val="22"/>
                <w:szCs w:val="22"/>
              </w:rPr>
              <w:t>Candidate does not meet standard</w:t>
            </w:r>
          </w:p>
          <w:p w:rsidR="00FF2DF9" w:rsidRPr="00B6468D" w:rsidRDefault="00FF2DF9" w:rsidP="001A204D">
            <w:pPr>
              <w:rPr>
                <w:rFonts w:ascii="Times New Roman" w:hAnsi="Times New Roman"/>
                <w:b/>
              </w:rPr>
            </w:pPr>
            <w:r w:rsidRPr="00B6468D">
              <w:rPr>
                <w:rFonts w:ascii="Times New Roman" w:hAnsi="Times New Roman"/>
                <w:b/>
                <w:sz w:val="22"/>
                <w:szCs w:val="22"/>
              </w:rPr>
              <w:t>Emerging 1</w:t>
            </w:r>
          </w:p>
        </w:tc>
      </w:tr>
      <w:tr w:rsidR="00FF2DF9" w:rsidRPr="00CE3203">
        <w:trPr>
          <w:trHeight w:val="1255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F9" w:rsidRPr="00B6468D" w:rsidRDefault="00FF2DF9" w:rsidP="001A204D">
            <w:pPr>
              <w:rPr>
                <w:rFonts w:ascii="Times New Roman" w:hAnsi="Times New Roman"/>
                <w:b/>
              </w:rPr>
            </w:pPr>
            <w:r w:rsidRPr="00B6468D">
              <w:rPr>
                <w:rFonts w:ascii="Times New Roman" w:hAnsi="Times New Roman"/>
                <w:b/>
                <w:sz w:val="22"/>
                <w:szCs w:val="22"/>
              </w:rPr>
              <w:t>Integrating culture into instruction 2a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F9" w:rsidRPr="00B6468D" w:rsidRDefault="00FF2DF9" w:rsidP="001A204D">
            <w:pPr>
              <w:rPr>
                <w:rFonts w:ascii="Times New Roman" w:hAnsi="Times New Roman"/>
              </w:rPr>
            </w:pPr>
            <w:r w:rsidRPr="00B6468D">
              <w:rPr>
                <w:rFonts w:ascii="Times New Roman" w:hAnsi="Times New Roman"/>
                <w:sz w:val="22"/>
                <w:szCs w:val="22"/>
              </w:rPr>
              <w:t xml:space="preserve">Candidates use a systematic approach to integrating culture.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F9" w:rsidRPr="00B6468D" w:rsidRDefault="00FF2DF9" w:rsidP="001A204D">
            <w:pPr>
              <w:rPr>
                <w:rFonts w:ascii="Times New Roman" w:hAnsi="Times New Roman"/>
              </w:rPr>
            </w:pPr>
            <w:r w:rsidRPr="00B6468D">
              <w:rPr>
                <w:rFonts w:ascii="Times New Roman" w:hAnsi="Times New Roman"/>
                <w:sz w:val="22"/>
                <w:szCs w:val="22"/>
              </w:rPr>
              <w:t>Candidates use the standards framework or other cultural model to integrate culture into daily lessons.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F9" w:rsidRPr="00B6468D" w:rsidRDefault="00FF2DF9" w:rsidP="001A204D">
            <w:pPr>
              <w:rPr>
                <w:rFonts w:ascii="Times New Roman" w:hAnsi="Times New Roman"/>
              </w:rPr>
            </w:pPr>
            <w:r w:rsidRPr="00B6468D">
              <w:rPr>
                <w:rFonts w:ascii="Times New Roman" w:hAnsi="Times New Roman"/>
                <w:sz w:val="22"/>
                <w:szCs w:val="22"/>
              </w:rPr>
              <w:t>Candidates integrate into instruction discrete pieces of cultural information found in instructional materials or personal experience.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F9" w:rsidRPr="00B6468D" w:rsidRDefault="00FF2DF9" w:rsidP="001A204D">
            <w:pPr>
              <w:rPr>
                <w:rFonts w:ascii="Times New Roman" w:hAnsi="Times New Roman"/>
              </w:rPr>
            </w:pPr>
            <w:r w:rsidRPr="00B6468D">
              <w:rPr>
                <w:rFonts w:ascii="Times New Roman" w:hAnsi="Times New Roman"/>
                <w:sz w:val="22"/>
                <w:szCs w:val="22"/>
              </w:rPr>
              <w:t>Candidates use only cultural integration in textbook materials.</w:t>
            </w:r>
          </w:p>
        </w:tc>
      </w:tr>
      <w:tr w:rsidR="00FF2DF9" w:rsidRPr="00CE3203">
        <w:trPr>
          <w:trHeight w:val="1509"/>
        </w:trPr>
        <w:tc>
          <w:tcPr>
            <w:tcW w:w="1530" w:type="dxa"/>
          </w:tcPr>
          <w:p w:rsidR="00FF2DF9" w:rsidRPr="00B6468D" w:rsidRDefault="00FF2DF9" w:rsidP="001A204D">
            <w:pPr>
              <w:rPr>
                <w:rFonts w:ascii="Times New Roman" w:hAnsi="Times New Roman"/>
                <w:b/>
              </w:rPr>
            </w:pPr>
            <w:r w:rsidRPr="00B6468D">
              <w:rPr>
                <w:rFonts w:ascii="Times New Roman" w:hAnsi="Times New Roman"/>
                <w:b/>
                <w:sz w:val="22"/>
                <w:szCs w:val="22"/>
              </w:rPr>
              <w:t>Planning for cross-disciplinary instruction</w:t>
            </w:r>
          </w:p>
          <w:p w:rsidR="00FF2DF9" w:rsidRPr="00B6468D" w:rsidRDefault="00FF2DF9" w:rsidP="001A204D">
            <w:pPr>
              <w:rPr>
                <w:rFonts w:ascii="Times New Roman" w:hAnsi="Times New Roman"/>
              </w:rPr>
            </w:pPr>
            <w:r w:rsidRPr="00B6468D">
              <w:rPr>
                <w:rFonts w:ascii="Times New Roman" w:hAnsi="Times New Roman"/>
                <w:b/>
                <w:sz w:val="22"/>
                <w:szCs w:val="22"/>
              </w:rPr>
              <w:t>2c</w:t>
            </w:r>
          </w:p>
        </w:tc>
        <w:tc>
          <w:tcPr>
            <w:tcW w:w="2610" w:type="dxa"/>
          </w:tcPr>
          <w:p w:rsidR="00FF2DF9" w:rsidRPr="00B6468D" w:rsidRDefault="00FF2DF9" w:rsidP="001A204D">
            <w:pPr>
              <w:rPr>
                <w:rFonts w:ascii="Times New Roman" w:hAnsi="Times New Roman"/>
              </w:rPr>
            </w:pPr>
            <w:r w:rsidRPr="00B6468D">
              <w:rPr>
                <w:rFonts w:ascii="Times New Roman" w:hAnsi="Times New Roman"/>
                <w:sz w:val="22"/>
                <w:szCs w:val="22"/>
              </w:rPr>
              <w:t>Candidates implement a content-based approach to language instruction that is based on the integration of language and subject area content.</w:t>
            </w:r>
          </w:p>
        </w:tc>
        <w:tc>
          <w:tcPr>
            <w:tcW w:w="2700" w:type="dxa"/>
          </w:tcPr>
          <w:p w:rsidR="00FF2DF9" w:rsidRPr="00B6468D" w:rsidRDefault="00FF2DF9" w:rsidP="001A204D">
            <w:pPr>
              <w:rPr>
                <w:rFonts w:ascii="Times New Roman" w:hAnsi="Times New Roman"/>
              </w:rPr>
            </w:pPr>
            <w:r w:rsidRPr="00B6468D">
              <w:rPr>
                <w:rFonts w:ascii="Times New Roman" w:hAnsi="Times New Roman"/>
                <w:sz w:val="22"/>
                <w:szCs w:val="22"/>
              </w:rPr>
              <w:t>Candidates integrate concepts form other subject areas and teach students strategies for learning this new content in the foreign language</w:t>
            </w:r>
          </w:p>
        </w:tc>
        <w:tc>
          <w:tcPr>
            <w:tcW w:w="3060" w:type="dxa"/>
          </w:tcPr>
          <w:p w:rsidR="00FF2DF9" w:rsidRPr="00B6468D" w:rsidRDefault="00FF2DF9" w:rsidP="001A204D">
            <w:pPr>
              <w:rPr>
                <w:rFonts w:ascii="Times New Roman" w:hAnsi="Times New Roman"/>
              </w:rPr>
            </w:pPr>
            <w:r w:rsidRPr="00B6468D">
              <w:rPr>
                <w:rFonts w:ascii="Times New Roman" w:hAnsi="Times New Roman"/>
                <w:sz w:val="22"/>
                <w:szCs w:val="22"/>
              </w:rPr>
              <w:t>Candidates integrate discrete pieces of information from other subject areas.</w:t>
            </w:r>
          </w:p>
        </w:tc>
        <w:tc>
          <w:tcPr>
            <w:tcW w:w="3240" w:type="dxa"/>
          </w:tcPr>
          <w:p w:rsidR="00FF2DF9" w:rsidRPr="00B6468D" w:rsidRDefault="00FF2DF9" w:rsidP="001A204D">
            <w:pPr>
              <w:rPr>
                <w:rFonts w:ascii="Times New Roman" w:hAnsi="Times New Roman"/>
              </w:rPr>
            </w:pPr>
            <w:r w:rsidRPr="00B6468D">
              <w:rPr>
                <w:rFonts w:ascii="Times New Roman" w:hAnsi="Times New Roman"/>
                <w:sz w:val="22"/>
                <w:szCs w:val="22"/>
              </w:rPr>
              <w:t>Candidates do not integrate other content areas.</w:t>
            </w:r>
          </w:p>
        </w:tc>
      </w:tr>
      <w:tr w:rsidR="00FF2DF9" w:rsidRPr="00CE3203">
        <w:trPr>
          <w:trHeight w:val="2511"/>
        </w:trPr>
        <w:tc>
          <w:tcPr>
            <w:tcW w:w="1530" w:type="dxa"/>
          </w:tcPr>
          <w:p w:rsidR="00FF2DF9" w:rsidRPr="00B6468D" w:rsidRDefault="00FF2DF9" w:rsidP="001A204D">
            <w:pPr>
              <w:rPr>
                <w:rFonts w:ascii="Times New Roman" w:hAnsi="Times New Roman"/>
                <w:b/>
              </w:rPr>
            </w:pPr>
            <w:r w:rsidRPr="00B6468D">
              <w:rPr>
                <w:rFonts w:ascii="Times New Roman" w:hAnsi="Times New Roman"/>
                <w:b/>
                <w:sz w:val="22"/>
                <w:szCs w:val="22"/>
              </w:rPr>
              <w:t>Integration of standards into planning 4a and 4c</w:t>
            </w:r>
          </w:p>
        </w:tc>
        <w:tc>
          <w:tcPr>
            <w:tcW w:w="2610" w:type="dxa"/>
          </w:tcPr>
          <w:p w:rsidR="00FF2DF9" w:rsidRPr="00B6468D" w:rsidRDefault="00FF2DF9" w:rsidP="001A204D">
            <w:pPr>
              <w:rPr>
                <w:rFonts w:ascii="Times New Roman" w:hAnsi="Times New Roman"/>
              </w:rPr>
            </w:pPr>
            <w:r w:rsidRPr="00B6468D">
              <w:rPr>
                <w:rFonts w:ascii="Times New Roman" w:hAnsi="Times New Roman"/>
                <w:sz w:val="22"/>
                <w:szCs w:val="22"/>
              </w:rPr>
              <w:t>Candidates use the goal areas and standards of the Standards for Foreign Language Learning, as well as their state standards, to design curriculum and unit/lesson plans.</w:t>
            </w:r>
          </w:p>
        </w:tc>
        <w:tc>
          <w:tcPr>
            <w:tcW w:w="2700" w:type="dxa"/>
          </w:tcPr>
          <w:p w:rsidR="00FF2DF9" w:rsidRPr="00B6468D" w:rsidRDefault="00FF2DF9" w:rsidP="001A204D">
            <w:pPr>
              <w:rPr>
                <w:rFonts w:ascii="Times New Roman" w:hAnsi="Times New Roman"/>
              </w:rPr>
            </w:pPr>
            <w:r w:rsidRPr="00B6468D">
              <w:rPr>
                <w:rFonts w:ascii="Times New Roman" w:hAnsi="Times New Roman"/>
                <w:sz w:val="22"/>
                <w:szCs w:val="22"/>
              </w:rPr>
              <w:t>Candidates create unit/lesson plan objectives that address specific goal areas and standards (national and state). They design activities and/or adapt instructional materials and activities to address specific standards.</w:t>
            </w:r>
          </w:p>
          <w:p w:rsidR="00FF2DF9" w:rsidRPr="00B6468D" w:rsidRDefault="00FF2DF9" w:rsidP="001A204D">
            <w:pPr>
              <w:rPr>
                <w:rFonts w:ascii="Times New Roman" w:hAnsi="Times New Roman"/>
              </w:rPr>
            </w:pPr>
          </w:p>
        </w:tc>
        <w:tc>
          <w:tcPr>
            <w:tcW w:w="3060" w:type="dxa"/>
          </w:tcPr>
          <w:p w:rsidR="00FF2DF9" w:rsidRPr="00B6468D" w:rsidRDefault="00FF2DF9" w:rsidP="001A204D">
            <w:pPr>
              <w:rPr>
                <w:rFonts w:ascii="Times New Roman" w:hAnsi="Times New Roman"/>
              </w:rPr>
            </w:pPr>
            <w:r w:rsidRPr="00B6468D">
              <w:rPr>
                <w:rFonts w:ascii="Times New Roman" w:hAnsi="Times New Roman"/>
                <w:sz w:val="22"/>
                <w:szCs w:val="22"/>
              </w:rPr>
              <w:t>Candidates apply goal areas and standards (both national and state) to their planning to the extent that their instructional materials do so.</w:t>
            </w:r>
          </w:p>
        </w:tc>
        <w:tc>
          <w:tcPr>
            <w:tcW w:w="3240" w:type="dxa"/>
          </w:tcPr>
          <w:p w:rsidR="00FF2DF9" w:rsidRPr="00BF617A" w:rsidRDefault="00FF2DF9" w:rsidP="001A204D">
            <w:pPr>
              <w:rPr>
                <w:rFonts w:ascii="Times New Roman" w:hAnsi="Times New Roman"/>
              </w:rPr>
            </w:pPr>
            <w:r w:rsidRPr="00BF617A">
              <w:rPr>
                <w:rFonts w:ascii="Times New Roman" w:hAnsi="Times New Roman"/>
                <w:sz w:val="22"/>
                <w:szCs w:val="22"/>
              </w:rPr>
              <w:t>Candidates include no evidence of standards in planning.</w:t>
            </w:r>
          </w:p>
        </w:tc>
      </w:tr>
      <w:tr w:rsidR="00FF2DF9" w:rsidRPr="00CE3203">
        <w:trPr>
          <w:trHeight w:val="2032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F9" w:rsidRPr="00B6468D" w:rsidRDefault="00FF2DF9" w:rsidP="001A204D">
            <w:pPr>
              <w:rPr>
                <w:rFonts w:ascii="Times New Roman" w:hAnsi="Times New Roman"/>
                <w:b/>
              </w:rPr>
            </w:pPr>
            <w:r w:rsidRPr="00B6468D">
              <w:rPr>
                <w:rFonts w:ascii="Times New Roman" w:hAnsi="Times New Roman"/>
                <w:b/>
                <w:sz w:val="22"/>
                <w:szCs w:val="22"/>
              </w:rPr>
              <w:t>Formative and summative assessment models-5a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F9" w:rsidRPr="00B6468D" w:rsidRDefault="00FF2DF9" w:rsidP="001A204D">
            <w:pPr>
              <w:rPr>
                <w:rFonts w:ascii="Times New Roman" w:hAnsi="Times New Roman"/>
              </w:rPr>
            </w:pPr>
            <w:r w:rsidRPr="00B6468D">
              <w:rPr>
                <w:rFonts w:ascii="Times New Roman" w:hAnsi="Times New Roman"/>
                <w:sz w:val="22"/>
                <w:szCs w:val="22"/>
              </w:rPr>
              <w:t>Candidates design a system of formative and summative assessments that measure overall development of proficiency in an ongoing manner and at culminating points in the total program.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F9" w:rsidRPr="00B6468D" w:rsidRDefault="00FF2DF9" w:rsidP="001A204D">
            <w:pPr>
              <w:rPr>
                <w:rFonts w:ascii="Times New Roman" w:hAnsi="Times New Roman"/>
              </w:rPr>
            </w:pPr>
            <w:r w:rsidRPr="00B6468D">
              <w:rPr>
                <w:rFonts w:ascii="Times New Roman" w:hAnsi="Times New Roman"/>
                <w:sz w:val="22"/>
                <w:szCs w:val="22"/>
              </w:rPr>
              <w:t>Candidates design formative assessments to measure achievement within a unit of instruction and summative assessments to measure achievement at the end of a unit or chapter.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F9" w:rsidRPr="00B6468D" w:rsidRDefault="00FF2DF9" w:rsidP="001A204D">
            <w:pPr>
              <w:rPr>
                <w:rFonts w:ascii="Times New Roman" w:hAnsi="Times New Roman"/>
              </w:rPr>
            </w:pPr>
            <w:r w:rsidRPr="00B6468D">
              <w:rPr>
                <w:rFonts w:ascii="Times New Roman" w:hAnsi="Times New Roman"/>
                <w:sz w:val="22"/>
                <w:szCs w:val="22"/>
              </w:rPr>
              <w:t>Candidates recognize the purposes of formative and summative assessments as set forth in prepared testing materials.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F9" w:rsidRPr="00B6468D" w:rsidRDefault="00FF2DF9" w:rsidP="001A204D">
            <w:pPr>
              <w:rPr>
                <w:rFonts w:ascii="Times New Roman" w:hAnsi="Times New Roman"/>
              </w:rPr>
            </w:pPr>
            <w:r w:rsidRPr="00B6468D">
              <w:rPr>
                <w:rFonts w:ascii="Times New Roman" w:hAnsi="Times New Roman"/>
                <w:sz w:val="22"/>
                <w:szCs w:val="22"/>
              </w:rPr>
              <w:t>Candidates use primarily summative assessments prepared by others.</w:t>
            </w:r>
          </w:p>
        </w:tc>
      </w:tr>
    </w:tbl>
    <w:p w:rsidR="00CE515B" w:rsidRPr="00277876" w:rsidRDefault="00CE515B" w:rsidP="00AA544A"/>
    <w:sectPr w:rsidR="00CE515B" w:rsidRPr="00277876" w:rsidSect="00EB484A">
      <w:type w:val="continuous"/>
      <w:pgSz w:w="15840" w:h="12240" w:orient="landscape"/>
      <w:pgMar w:top="1440" w:right="1440" w:bottom="144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95B95"/>
    <w:multiLevelType w:val="hybridMultilevel"/>
    <w:tmpl w:val="706EC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734CB"/>
    <w:rsid w:val="00034644"/>
    <w:rsid w:val="00133091"/>
    <w:rsid w:val="0021098A"/>
    <w:rsid w:val="0024713A"/>
    <w:rsid w:val="00277876"/>
    <w:rsid w:val="00374FD2"/>
    <w:rsid w:val="004A5429"/>
    <w:rsid w:val="005405A9"/>
    <w:rsid w:val="005F5397"/>
    <w:rsid w:val="0065598C"/>
    <w:rsid w:val="00673CC8"/>
    <w:rsid w:val="00873F97"/>
    <w:rsid w:val="009239D6"/>
    <w:rsid w:val="009330C7"/>
    <w:rsid w:val="00934729"/>
    <w:rsid w:val="009639F4"/>
    <w:rsid w:val="00A10D4A"/>
    <w:rsid w:val="00AA544A"/>
    <w:rsid w:val="00AE16DB"/>
    <w:rsid w:val="00AE646E"/>
    <w:rsid w:val="00AF4A3B"/>
    <w:rsid w:val="00B85803"/>
    <w:rsid w:val="00BF4D80"/>
    <w:rsid w:val="00BF617A"/>
    <w:rsid w:val="00C029A9"/>
    <w:rsid w:val="00C26DFB"/>
    <w:rsid w:val="00C460B3"/>
    <w:rsid w:val="00C82CA3"/>
    <w:rsid w:val="00C920E6"/>
    <w:rsid w:val="00CE2C03"/>
    <w:rsid w:val="00CE515B"/>
    <w:rsid w:val="00D04B0E"/>
    <w:rsid w:val="00DA0B90"/>
    <w:rsid w:val="00EB484A"/>
    <w:rsid w:val="00F15734"/>
    <w:rsid w:val="00F734CB"/>
    <w:rsid w:val="00FD05C1"/>
    <w:rsid w:val="00FF2DF9"/>
  </w:rsids>
  <m:mathPr>
    <m:mathFont m:val="Arial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6B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734CB"/>
    <w:pPr>
      <w:ind w:left="720"/>
      <w:contextualSpacing/>
    </w:pPr>
  </w:style>
  <w:style w:type="table" w:styleId="TableGrid">
    <w:name w:val="Table Grid"/>
    <w:basedOn w:val="TableNormal"/>
    <w:uiPriority w:val="59"/>
    <w:rsid w:val="002778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16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6D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6D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6D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6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6D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6DB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printerSettings" Target="printerSettings/printerSettings2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689</Words>
  <Characters>3928</Characters>
  <Application>Microsoft Macintosh Word</Application>
  <DocSecurity>0</DocSecurity>
  <Lines>32</Lines>
  <Paragraphs>7</Paragraphs>
  <ScaleCrop>false</ScaleCrop>
  <Company>Parkway School District</Company>
  <LinksUpToDate>false</LinksUpToDate>
  <CharactersWithSpaces>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5</cp:revision>
  <dcterms:created xsi:type="dcterms:W3CDTF">2010-05-01T01:08:00Z</dcterms:created>
  <dcterms:modified xsi:type="dcterms:W3CDTF">2010-09-01T02:08:00Z</dcterms:modified>
</cp:coreProperties>
</file>